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EE3A" w14:textId="77777777" w:rsidR="00B659C4" w:rsidRPr="00A95C30" w:rsidRDefault="00B659C4" w:rsidP="00CC6957">
      <w:pPr>
        <w:pStyle w:val="Heading1"/>
        <w:rPr>
          <w:rFonts w:ascii="Gotham Narrow Book" w:hAnsi="Gotham Narrow Book"/>
          <w:color w:val="00A2DD"/>
          <w:sz w:val="28"/>
          <w:szCs w:val="28"/>
        </w:rPr>
      </w:pPr>
      <w:r w:rsidRPr="00A95C30">
        <w:rPr>
          <w:rFonts w:ascii="Gotham Narrow Book" w:hAnsi="Gotham Narrow Book"/>
          <w:color w:val="00A2DD"/>
          <w:sz w:val="28"/>
          <w:szCs w:val="28"/>
        </w:rPr>
        <w:t>Ongoing</w:t>
      </w:r>
    </w:p>
    <w:p w14:paraId="2BC8E7E3" w14:textId="77777777" w:rsidR="008C7335" w:rsidRPr="00CC6957" w:rsidRDefault="008C7335" w:rsidP="00172A0E">
      <w:pPr>
        <w:spacing w:after="0" w:line="240" w:lineRule="auto"/>
        <w:contextualSpacing/>
        <w:rPr>
          <w:rFonts w:ascii="Gotham Narrow Book" w:hAnsi="Gotham Narrow Book" w:cstheme="minorHAnsi"/>
          <w:sz w:val="24"/>
          <w:szCs w:val="24"/>
        </w:rPr>
      </w:pPr>
      <w:r w:rsidRPr="00CC6957">
        <w:rPr>
          <w:rFonts w:ascii="Gotham Narrow Book" w:hAnsi="Gotham Narrow Book" w:cstheme="minorHAnsi"/>
          <w:sz w:val="24"/>
          <w:szCs w:val="24"/>
        </w:rPr>
        <w:t>Recruiting:</w:t>
      </w:r>
    </w:p>
    <w:p w14:paraId="5574A783" w14:textId="77777777" w:rsidR="008C7335" w:rsidRPr="00A95C30" w:rsidRDefault="00000000" w:rsidP="00CC6957">
      <w:pPr>
        <w:spacing w:after="0" w:line="240" w:lineRule="auto"/>
        <w:ind w:left="720" w:hanging="720"/>
        <w:contextualSpacing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211709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35" w:rsidRPr="00CC69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335" w:rsidRPr="00CC6957">
        <w:rPr>
          <w:rFonts w:cstheme="minorHAnsi"/>
          <w:sz w:val="23"/>
          <w:szCs w:val="23"/>
        </w:rPr>
        <w:t xml:space="preserve">   </w:t>
      </w:r>
      <w:r w:rsidR="008C7335" w:rsidRPr="00A95C30">
        <w:rPr>
          <w:rFonts w:cstheme="minorHAnsi"/>
        </w:rPr>
        <w:t xml:space="preserve">Conduct and document </w:t>
      </w:r>
      <w:hyperlink r:id="rId8" w:history="1">
        <w:r w:rsidR="008C7335" w:rsidRPr="00A95C30">
          <w:rPr>
            <w:rStyle w:val="Hyperlink"/>
            <w:rFonts w:cstheme="minorHAnsi"/>
            <w:color w:val="4472C4" w:themeColor="accent1"/>
          </w:rPr>
          <w:t>good faith outreach</w:t>
        </w:r>
      </w:hyperlink>
      <w:r w:rsidR="008C7335" w:rsidRPr="00A95C30">
        <w:rPr>
          <w:rFonts w:cstheme="minorHAnsi"/>
          <w:color w:val="4472C4" w:themeColor="accent1"/>
        </w:rPr>
        <w:t xml:space="preserve"> </w:t>
      </w:r>
      <w:r w:rsidR="008C7335" w:rsidRPr="00A95C30">
        <w:rPr>
          <w:rFonts w:cstheme="minorHAnsi"/>
        </w:rPr>
        <w:t xml:space="preserve">efforts towards </w:t>
      </w:r>
      <w:r w:rsidR="008C7335" w:rsidRPr="00A95C30">
        <w:rPr>
          <w:rFonts w:cstheme="minorHAnsi"/>
          <w:i/>
        </w:rPr>
        <w:t>veterans</w:t>
      </w:r>
      <w:r w:rsidR="008C7335" w:rsidRPr="00A95C30">
        <w:rPr>
          <w:rFonts w:cstheme="minorHAnsi"/>
        </w:rPr>
        <w:t xml:space="preserve"> and </w:t>
      </w:r>
      <w:r w:rsidR="008C7335" w:rsidRPr="00A95C30">
        <w:rPr>
          <w:rFonts w:cstheme="minorHAnsi"/>
          <w:i/>
        </w:rPr>
        <w:t>individuals with disabilities</w:t>
      </w:r>
      <w:r w:rsidR="008C7335" w:rsidRPr="00A95C30">
        <w:rPr>
          <w:rFonts w:cstheme="minorHAnsi"/>
        </w:rPr>
        <w:t xml:space="preserve"> for each AA location (Keep this documentation for three years).</w:t>
      </w:r>
    </w:p>
    <w:p w14:paraId="774B2155" w14:textId="77777777" w:rsidR="008C7335" w:rsidRPr="00A95C30" w:rsidRDefault="00000000" w:rsidP="008C7335">
      <w:pPr>
        <w:spacing w:after="0" w:line="240" w:lineRule="auto"/>
        <w:ind w:left="720" w:hanging="720"/>
        <w:contextualSpacing/>
        <w:rPr>
          <w:rFonts w:cstheme="minorHAnsi"/>
        </w:rPr>
      </w:pPr>
      <w:sdt>
        <w:sdtPr>
          <w:rPr>
            <w:rFonts w:cstheme="minorHAnsi"/>
          </w:rPr>
          <w:id w:val="-147127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35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8C7335" w:rsidRPr="00A95C30">
        <w:rPr>
          <w:rFonts w:cstheme="minorHAnsi"/>
        </w:rPr>
        <w:t xml:space="preserve">   Review areas of underutilization for Minorities and Females and </w:t>
      </w:r>
      <w:hyperlink r:id="rId9" w:history="1">
        <w:r w:rsidR="008C7335" w:rsidRPr="00A95C30">
          <w:rPr>
            <w:rStyle w:val="Hyperlink"/>
            <w:rFonts w:cstheme="minorHAnsi"/>
            <w:color w:val="4472C4" w:themeColor="accent1"/>
          </w:rPr>
          <w:t>document good faith</w:t>
        </w:r>
      </w:hyperlink>
      <w:r w:rsidR="008C7335" w:rsidRPr="00A95C30">
        <w:rPr>
          <w:rFonts w:cstheme="minorHAnsi"/>
        </w:rPr>
        <w:t xml:space="preserve"> recruiting efforts in these areas.</w:t>
      </w:r>
    </w:p>
    <w:p w14:paraId="184AA46E" w14:textId="77777777" w:rsidR="002727DC" w:rsidRPr="00A95C30" w:rsidRDefault="00000000" w:rsidP="00CC6957">
      <w:pPr>
        <w:spacing w:after="0" w:line="240" w:lineRule="auto"/>
        <w:ind w:left="720" w:hanging="720"/>
        <w:contextualSpacing/>
        <w:rPr>
          <w:rFonts w:cstheme="minorHAnsi"/>
        </w:rPr>
      </w:pPr>
      <w:sdt>
        <w:sdtPr>
          <w:rPr>
            <w:rFonts w:cstheme="minorHAnsi"/>
          </w:rPr>
          <w:id w:val="170043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2727DC" w:rsidRPr="00A95C30">
        <w:rPr>
          <w:rFonts w:cstheme="minorHAnsi"/>
        </w:rPr>
        <w:t xml:space="preserve">   Ensure </w:t>
      </w:r>
      <w:hyperlink r:id="rId10" w:history="1">
        <w:r w:rsidR="002727DC" w:rsidRPr="00A95C30">
          <w:rPr>
            <w:rFonts w:cstheme="minorHAnsi"/>
            <w:color w:val="4A7FC4"/>
            <w:u w:val="single"/>
          </w:rPr>
          <w:t>mandatory job listings</w:t>
        </w:r>
      </w:hyperlink>
      <w:r w:rsidR="002727DC" w:rsidRPr="00A95C30">
        <w:rPr>
          <w:rFonts w:cstheme="minorHAnsi"/>
        </w:rPr>
        <w:t> in manner appropriate to your </w:t>
      </w:r>
      <w:hyperlink r:id="rId11" w:tgtFrame="_blank" w:history="1">
        <w:r w:rsidR="002727DC" w:rsidRPr="00A95C30">
          <w:rPr>
            <w:rFonts w:cstheme="minorHAnsi"/>
            <w:color w:val="4A7FC4"/>
            <w:u w:val="single"/>
          </w:rPr>
          <w:t>Employment Service Delivery System</w:t>
        </w:r>
      </w:hyperlink>
      <w:r w:rsidR="002727DC" w:rsidRPr="00A95C30">
        <w:rPr>
          <w:rFonts w:cstheme="minorHAnsi"/>
        </w:rPr>
        <w:t> (ESDS). Provide additional company information to </w:t>
      </w:r>
      <w:hyperlink r:id="rId12" w:history="1">
        <w:r w:rsidR="002727DC" w:rsidRPr="00A95C30">
          <w:rPr>
            <w:rFonts w:cstheme="minorHAnsi"/>
            <w:color w:val="4A7FC4"/>
            <w:u w:val="single"/>
          </w:rPr>
          <w:t>appropriate ESDS</w:t>
        </w:r>
      </w:hyperlink>
      <w:r w:rsidR="002727DC" w:rsidRPr="00A95C30">
        <w:rPr>
          <w:rFonts w:cstheme="minorHAnsi"/>
        </w:rPr>
        <w:t>  (60-300.5</w:t>
      </w:r>
      <w:proofErr w:type="gramStart"/>
      <w:r w:rsidR="002727DC" w:rsidRPr="00A95C30">
        <w:rPr>
          <w:rFonts w:cstheme="minorHAnsi"/>
        </w:rPr>
        <w:t>a(</w:t>
      </w:r>
      <w:proofErr w:type="gramEnd"/>
      <w:r w:rsidR="002727DC" w:rsidRPr="00A95C30">
        <w:rPr>
          <w:rFonts w:cstheme="minorHAnsi"/>
        </w:rPr>
        <w:t>4))</w:t>
      </w:r>
    </w:p>
    <w:p w14:paraId="0292CED4" w14:textId="77777777" w:rsidR="00745A8B" w:rsidRPr="00CC6957" w:rsidRDefault="00A95C30" w:rsidP="00CC6957">
      <w:pPr>
        <w:spacing w:after="0" w:line="240" w:lineRule="auto"/>
        <w:ind w:left="720" w:hanging="720"/>
        <w:contextualSpacing/>
        <w:rPr>
          <w:rFonts w:cstheme="minorHAnsi"/>
          <w:sz w:val="23"/>
          <w:szCs w:val="23"/>
        </w:rPr>
      </w:pPr>
      <w:r w:rsidRPr="00A95C30">
        <w:rPr>
          <w:rFonts w:cstheme="minorHAnsi"/>
        </w:rPr>
        <w:t xml:space="preserve">             </w:t>
      </w:r>
      <w:hyperlink r:id="rId13" w:history="1">
        <w:r w:rsidR="00745A8B" w:rsidRPr="00A95C30">
          <w:rPr>
            <w:rStyle w:val="Hyperlink"/>
            <w:rFonts w:cstheme="minorHAnsi"/>
            <w:color w:val="4472C4" w:themeColor="accent1"/>
          </w:rPr>
          <w:t>Self-ID forms</w:t>
        </w:r>
      </w:hyperlink>
      <w:r w:rsidR="00745A8B" w:rsidRPr="00A95C30">
        <w:rPr>
          <w:rFonts w:cstheme="minorHAnsi"/>
        </w:rPr>
        <w:t xml:space="preserve"> (pre and post offer)</w:t>
      </w:r>
    </w:p>
    <w:p w14:paraId="55155DB3" w14:textId="77777777" w:rsidR="008C7335" w:rsidRPr="00CC6957" w:rsidRDefault="008C7335" w:rsidP="00172A0E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FB88F32" w14:textId="77777777" w:rsidR="002727DC" w:rsidRPr="00CC6957" w:rsidRDefault="002727DC" w:rsidP="00172A0E">
      <w:pPr>
        <w:spacing w:after="0" w:line="240" w:lineRule="auto"/>
        <w:contextualSpacing/>
        <w:rPr>
          <w:rFonts w:ascii="Gotham Narrow Book" w:hAnsi="Gotham Narrow Book" w:cstheme="minorHAnsi"/>
          <w:sz w:val="24"/>
          <w:szCs w:val="24"/>
        </w:rPr>
      </w:pPr>
      <w:r w:rsidRPr="00CC6957">
        <w:rPr>
          <w:rFonts w:ascii="Gotham Narrow Book" w:hAnsi="Gotham Narrow Book" w:cstheme="minorHAnsi"/>
          <w:sz w:val="24"/>
          <w:szCs w:val="24"/>
        </w:rPr>
        <w:t>Policies and Postings:</w:t>
      </w:r>
    </w:p>
    <w:p w14:paraId="565A429C" w14:textId="365A081E" w:rsidR="002727DC" w:rsidRPr="00A95C30" w:rsidRDefault="00000000" w:rsidP="002727DC">
      <w:pPr>
        <w:spacing w:after="0" w:line="240" w:lineRule="auto"/>
        <w:contextualSpacing/>
        <w:rPr>
          <w:rFonts w:cstheme="minorHAnsi"/>
          <w:i/>
        </w:rPr>
      </w:pPr>
      <w:sdt>
        <w:sdtPr>
          <w:rPr>
            <w:rFonts w:eastAsia="MS Gothic" w:cstheme="minorHAnsi"/>
            <w:sz w:val="24"/>
            <w:szCs w:val="24"/>
          </w:rPr>
          <w:id w:val="-2448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CC69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27DC" w:rsidRPr="00CC6957">
        <w:rPr>
          <w:rFonts w:cstheme="minorHAnsi"/>
          <w:sz w:val="24"/>
          <w:szCs w:val="24"/>
        </w:rPr>
        <w:t xml:space="preserve">   </w:t>
      </w:r>
      <w:r w:rsidR="004809B5">
        <w:rPr>
          <w:rFonts w:cstheme="minorHAnsi"/>
        </w:rPr>
        <w:t>“</w:t>
      </w:r>
      <w:hyperlink r:id="rId14" w:history="1">
        <w:r w:rsidR="004809B5" w:rsidRPr="004809B5">
          <w:rPr>
            <w:rStyle w:val="Hyperlink"/>
            <w:rFonts w:cstheme="minorHAnsi"/>
            <w:color w:val="4472C4" w:themeColor="accent1"/>
          </w:rPr>
          <w:t>Know Your Rights</w:t>
        </w:r>
      </w:hyperlink>
      <w:r w:rsidR="004809B5">
        <w:rPr>
          <w:rFonts w:cstheme="minorHAnsi"/>
        </w:rPr>
        <w:t>”</w:t>
      </w:r>
      <w:r w:rsidR="002727DC" w:rsidRPr="00A95C30">
        <w:rPr>
          <w:rFonts w:cstheme="minorHAnsi"/>
        </w:rPr>
        <w:t xml:space="preserve"> poster for applicants and </w:t>
      </w:r>
      <w:proofErr w:type="gramStart"/>
      <w:r w:rsidR="002727DC" w:rsidRPr="00A95C30">
        <w:rPr>
          <w:rFonts w:cstheme="minorHAnsi"/>
        </w:rPr>
        <w:t>employees</w:t>
      </w:r>
      <w:proofErr w:type="gramEnd"/>
      <w:r w:rsidR="002727DC" w:rsidRPr="00A95C30">
        <w:rPr>
          <w:rFonts w:cstheme="minorHAnsi"/>
        </w:rPr>
        <w:t xml:space="preserve"> </w:t>
      </w:r>
    </w:p>
    <w:p w14:paraId="5FBA4585" w14:textId="77777777" w:rsidR="002727DC" w:rsidRPr="00A95C30" w:rsidRDefault="00000000" w:rsidP="002727DC">
      <w:p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31346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2727DC" w:rsidRPr="00A95C30">
        <w:rPr>
          <w:rFonts w:cstheme="minorHAnsi"/>
        </w:rPr>
        <w:t xml:space="preserve">   </w:t>
      </w:r>
      <w:r w:rsidR="00950E67" w:rsidRPr="00A95C30">
        <w:rPr>
          <w:rFonts w:cstheme="minorHAnsi"/>
        </w:rPr>
        <w:t>Update</w:t>
      </w:r>
      <w:r w:rsidR="002727DC" w:rsidRPr="00A95C30">
        <w:rPr>
          <w:rFonts w:cstheme="minorHAnsi"/>
        </w:rPr>
        <w:t xml:space="preserve"> </w:t>
      </w:r>
      <w:hyperlink r:id="rId15" w:history="1">
        <w:r w:rsidR="002727DC" w:rsidRPr="00A95C30">
          <w:rPr>
            <w:rStyle w:val="Hyperlink"/>
            <w:rFonts w:cstheme="minorHAnsi"/>
            <w:color w:val="4472C4" w:themeColor="accent1"/>
          </w:rPr>
          <w:t>EEO Policy Statement</w:t>
        </w:r>
      </w:hyperlink>
      <w:r w:rsidR="002727DC" w:rsidRPr="00A95C30">
        <w:rPr>
          <w:rFonts w:cstheme="minorHAnsi"/>
          <w:color w:val="4472C4" w:themeColor="accent1"/>
        </w:rPr>
        <w:t xml:space="preserve"> </w:t>
      </w:r>
      <w:r w:rsidR="00950E67" w:rsidRPr="00A95C30">
        <w:rPr>
          <w:rFonts w:cstheme="minorHAnsi"/>
        </w:rPr>
        <w:t xml:space="preserve">annually </w:t>
      </w:r>
      <w:r w:rsidR="002727DC" w:rsidRPr="00A95C30">
        <w:rPr>
          <w:rFonts w:cstheme="minorHAnsi"/>
        </w:rPr>
        <w:t xml:space="preserve">and post it </w:t>
      </w:r>
      <w:r w:rsidR="00950E67" w:rsidRPr="00A95C30">
        <w:rPr>
          <w:rFonts w:cstheme="minorHAnsi"/>
        </w:rPr>
        <w:t xml:space="preserve">along </w:t>
      </w:r>
      <w:r w:rsidR="002727DC" w:rsidRPr="00A95C30">
        <w:rPr>
          <w:rFonts w:cstheme="minorHAnsi"/>
        </w:rPr>
        <w:t xml:space="preserve">with policy manual </w:t>
      </w:r>
      <w:r w:rsidR="00950E67" w:rsidRPr="00A95C30">
        <w:rPr>
          <w:rFonts w:cstheme="minorHAnsi"/>
        </w:rPr>
        <w:t>and</w:t>
      </w:r>
      <w:r w:rsidR="002727DC" w:rsidRPr="00A95C30">
        <w:rPr>
          <w:rFonts w:cstheme="minorHAnsi"/>
        </w:rPr>
        <w:t xml:space="preserve"> EEO notices. </w:t>
      </w:r>
    </w:p>
    <w:p w14:paraId="0809D9E9" w14:textId="77777777" w:rsidR="002727DC" w:rsidRPr="00A95C30" w:rsidRDefault="00000000" w:rsidP="002727DC">
      <w:p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184944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2727DC" w:rsidRPr="00A95C30">
        <w:rPr>
          <w:rFonts w:cstheme="minorHAnsi"/>
        </w:rPr>
        <w:t xml:space="preserve">   Include </w:t>
      </w:r>
      <w:hyperlink r:id="rId16" w:history="1">
        <w:r w:rsidR="002727DC" w:rsidRPr="00A95C30">
          <w:rPr>
            <w:rFonts w:cstheme="minorHAnsi"/>
            <w:color w:val="4A7FC4"/>
            <w:u w:val="single"/>
          </w:rPr>
          <w:t>Equal Opportunity (EO) clause</w:t>
        </w:r>
      </w:hyperlink>
      <w:r w:rsidR="002727DC" w:rsidRPr="00A95C30">
        <w:rPr>
          <w:rFonts w:cstheme="minorHAnsi"/>
        </w:rPr>
        <w:t> </w:t>
      </w:r>
      <w:r w:rsidR="00346BDD" w:rsidRPr="00A95C30">
        <w:rPr>
          <w:rFonts w:cstheme="minorHAnsi"/>
        </w:rPr>
        <w:t xml:space="preserve">and NLRA clause is </w:t>
      </w:r>
      <w:r w:rsidR="002727DC" w:rsidRPr="00A95C30">
        <w:rPr>
          <w:rFonts w:cstheme="minorHAnsi"/>
        </w:rPr>
        <w:t>in sub-contracts and purchase orders.</w:t>
      </w:r>
    </w:p>
    <w:p w14:paraId="7CF963E8" w14:textId="77777777" w:rsidR="002727DC" w:rsidRPr="00A95C30" w:rsidRDefault="00000000" w:rsidP="00CC6957">
      <w:pPr>
        <w:spacing w:after="0" w:line="240" w:lineRule="auto"/>
        <w:ind w:left="720" w:hanging="720"/>
        <w:contextualSpacing/>
        <w:rPr>
          <w:rFonts w:cstheme="minorHAnsi"/>
        </w:rPr>
      </w:pPr>
      <w:sdt>
        <w:sdtPr>
          <w:rPr>
            <w:rFonts w:cstheme="minorHAnsi"/>
          </w:rPr>
          <w:id w:val="78801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2727DC" w:rsidRPr="00A95C30">
        <w:rPr>
          <w:rFonts w:cstheme="minorHAnsi"/>
        </w:rPr>
        <w:t xml:space="preserve">   Provide written notice of AAP obligations to subcontractors (60.741.44(f)) and labor organizations with which you have a collective bargaining agreement of non-discrimination obligations.</w:t>
      </w:r>
      <w:r w:rsidR="00CC6957" w:rsidRPr="00A95C30">
        <w:rPr>
          <w:rFonts w:cstheme="minorHAnsi"/>
        </w:rPr>
        <w:t xml:space="preserve"> </w:t>
      </w:r>
      <w:hyperlink r:id="rId17" w:history="1">
        <w:r w:rsidR="002727DC" w:rsidRPr="00A95C30">
          <w:rPr>
            <w:rFonts w:cstheme="minorHAnsi"/>
            <w:color w:val="4A7FC4"/>
            <w:u w:val="single"/>
          </w:rPr>
          <w:t>Download sample notification statement</w:t>
        </w:r>
      </w:hyperlink>
      <w:r w:rsidR="002727DC" w:rsidRPr="00A95C30">
        <w:rPr>
          <w:rFonts w:cstheme="minorHAnsi"/>
          <w:color w:val="4A7FC4"/>
          <w:u w:val="single"/>
        </w:rPr>
        <w:t>.</w:t>
      </w:r>
    </w:p>
    <w:p w14:paraId="067AB831" w14:textId="35C0F633" w:rsidR="002727DC" w:rsidRPr="00A95C30" w:rsidRDefault="00000000" w:rsidP="002727DC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-155075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2727DC" w:rsidRPr="00A95C30">
        <w:rPr>
          <w:rFonts w:cstheme="minorHAnsi"/>
        </w:rPr>
        <w:t xml:space="preserve">   Update job ads to spell out your EEO policy</w:t>
      </w:r>
      <w:r w:rsidR="009126A6">
        <w:rPr>
          <w:rFonts w:cstheme="minorHAnsi"/>
        </w:rPr>
        <w:t>-On page 6 of the</w:t>
      </w:r>
      <w:r w:rsidR="002727DC" w:rsidRPr="00A95C30">
        <w:rPr>
          <w:rFonts w:cstheme="minorHAnsi"/>
        </w:rPr>
        <w:t xml:space="preserve"> </w:t>
      </w:r>
      <w:hyperlink r:id="rId18" w:history="1">
        <w:r w:rsidR="002727DC" w:rsidRPr="009126A6">
          <w:rPr>
            <w:rStyle w:val="Hyperlink"/>
            <w:rFonts w:cstheme="minorHAnsi"/>
          </w:rPr>
          <w:t>EEO Tag Line in Employment Advertising.</w:t>
        </w:r>
      </w:hyperlink>
    </w:p>
    <w:p w14:paraId="2CF8DB7C" w14:textId="77777777" w:rsidR="00CC396B" w:rsidRPr="00A95C30" w:rsidRDefault="00000000" w:rsidP="002727DC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-18861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2727DC" w:rsidRPr="00A95C30">
        <w:rPr>
          <w:rFonts w:cstheme="minorHAnsi"/>
        </w:rPr>
        <w:t xml:space="preserve">   </w:t>
      </w:r>
      <w:hyperlink r:id="rId19" w:history="1">
        <w:r w:rsidR="002727DC" w:rsidRPr="00A95C30">
          <w:rPr>
            <w:rStyle w:val="Hyperlink"/>
            <w:rFonts w:cstheme="minorHAnsi"/>
            <w:color w:val="4472C4" w:themeColor="accent1"/>
          </w:rPr>
          <w:t>Online accessibility statement</w:t>
        </w:r>
      </w:hyperlink>
    </w:p>
    <w:p w14:paraId="6208F9EA" w14:textId="77777777" w:rsidR="00CC396B" w:rsidRPr="00A95C30" w:rsidRDefault="00000000" w:rsidP="00CC396B">
      <w:pPr>
        <w:spacing w:after="0" w:line="240" w:lineRule="auto"/>
        <w:contextualSpacing/>
        <w:rPr>
          <w:rFonts w:cstheme="minorHAnsi"/>
          <w:u w:val="single"/>
        </w:rPr>
      </w:pPr>
      <w:sdt>
        <w:sdtPr>
          <w:rPr>
            <w:rFonts w:cstheme="minorHAnsi"/>
          </w:rPr>
          <w:id w:val="122765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BDD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CC396B" w:rsidRPr="00A95C30">
        <w:rPr>
          <w:rFonts w:cstheme="minorHAnsi"/>
        </w:rPr>
        <w:t xml:space="preserve">   </w:t>
      </w:r>
      <w:hyperlink r:id="rId20" w:history="1">
        <w:r w:rsidR="00CC396B" w:rsidRPr="00A95C30">
          <w:rPr>
            <w:rStyle w:val="Hyperlink"/>
            <w:rFonts w:cstheme="minorHAnsi"/>
            <w:color w:val="4472C4" w:themeColor="accent1"/>
          </w:rPr>
          <w:t>Keep posted applicable federal and state law posters</w:t>
        </w:r>
      </w:hyperlink>
    </w:p>
    <w:p w14:paraId="0D6865FF" w14:textId="77777777" w:rsidR="00346BDD" w:rsidRPr="00A95C30" w:rsidRDefault="00000000" w:rsidP="00CC396B">
      <w:pPr>
        <w:spacing w:after="0" w:line="240" w:lineRule="auto"/>
        <w:contextualSpacing/>
        <w:rPr>
          <w:rFonts w:cstheme="minorHAnsi"/>
          <w:u w:val="single"/>
        </w:rPr>
      </w:pPr>
      <w:sdt>
        <w:sdtPr>
          <w:rPr>
            <w:rFonts w:cstheme="minorHAnsi"/>
          </w:rPr>
          <w:id w:val="-3785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BDD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346BDD" w:rsidRPr="00A95C30">
        <w:rPr>
          <w:rFonts w:cstheme="minorHAnsi"/>
        </w:rPr>
        <w:t xml:space="preserve">  </w:t>
      </w:r>
      <w:r w:rsidR="00346BDD" w:rsidRPr="00A95C30">
        <w:rPr>
          <w:rFonts w:cstheme="minorHAnsi"/>
          <w:color w:val="4472C4" w:themeColor="accent1"/>
        </w:rPr>
        <w:t xml:space="preserve"> </w:t>
      </w:r>
      <w:hyperlink r:id="rId21" w:history="1">
        <w:r w:rsidR="00346BDD" w:rsidRPr="00A95C30">
          <w:rPr>
            <w:rStyle w:val="Hyperlink"/>
            <w:rFonts w:cstheme="minorHAnsi"/>
            <w:color w:val="4472C4" w:themeColor="accent1"/>
          </w:rPr>
          <w:t>Pay Transparency Policy Statement and Poster</w:t>
        </w:r>
        <w:r w:rsidR="00950E67" w:rsidRPr="00A95C30">
          <w:rPr>
            <w:rStyle w:val="Hyperlink"/>
            <w:rFonts w:cstheme="minorHAnsi"/>
            <w:color w:val="4472C4" w:themeColor="accent1"/>
          </w:rPr>
          <w:t xml:space="preserve"> (EO 13665)</w:t>
        </w:r>
      </w:hyperlink>
    </w:p>
    <w:p w14:paraId="791D8EE5" w14:textId="2956D72A" w:rsidR="002727DC" w:rsidRPr="00A95C30" w:rsidRDefault="00000000" w:rsidP="00172A0E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-7120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BDD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346BDD" w:rsidRPr="00A95C30">
        <w:rPr>
          <w:rFonts w:cstheme="minorHAnsi"/>
        </w:rPr>
        <w:t xml:space="preserve">   </w:t>
      </w:r>
      <w:hyperlink r:id="rId22" w:history="1">
        <w:r w:rsidR="00346BDD" w:rsidRPr="00FE786F">
          <w:rPr>
            <w:rStyle w:val="Hyperlink"/>
            <w:rFonts w:cstheme="minorHAnsi"/>
            <w:color w:val="4472C4" w:themeColor="accent1"/>
          </w:rPr>
          <w:t>EO 13496 poster</w:t>
        </w:r>
        <w:r w:rsidR="00950E67" w:rsidRPr="00FE786F">
          <w:rPr>
            <w:rStyle w:val="Hyperlink"/>
            <w:rFonts w:cstheme="minorHAnsi"/>
            <w:color w:val="4472C4" w:themeColor="accent1"/>
          </w:rPr>
          <w:t xml:space="preserve"> NLRA</w:t>
        </w:r>
      </w:hyperlink>
    </w:p>
    <w:p w14:paraId="7DFFEE49" w14:textId="77777777" w:rsidR="00346BDD" w:rsidRPr="00CC6957" w:rsidRDefault="00346BDD" w:rsidP="00172A0E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E65538A" w14:textId="77777777" w:rsidR="002727DC" w:rsidRPr="00CC6957" w:rsidRDefault="002727DC" w:rsidP="00172A0E">
      <w:pPr>
        <w:spacing w:after="0" w:line="240" w:lineRule="auto"/>
        <w:contextualSpacing/>
        <w:rPr>
          <w:rFonts w:ascii="Gotham Narrow Book" w:hAnsi="Gotham Narrow Book" w:cstheme="minorHAnsi"/>
          <w:sz w:val="24"/>
          <w:szCs w:val="24"/>
        </w:rPr>
      </w:pPr>
      <w:r w:rsidRPr="00CC6957">
        <w:rPr>
          <w:rFonts w:ascii="Gotham Narrow Book" w:hAnsi="Gotham Narrow Book" w:cstheme="minorHAnsi"/>
          <w:sz w:val="24"/>
          <w:szCs w:val="24"/>
        </w:rPr>
        <w:t>Employment Processes:</w:t>
      </w:r>
    </w:p>
    <w:p w14:paraId="7042BA0F" w14:textId="664DE523" w:rsidR="002727DC" w:rsidRPr="00A95C30" w:rsidRDefault="00000000" w:rsidP="002727DC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  <w:sz w:val="23"/>
            <w:szCs w:val="23"/>
          </w:rPr>
          <w:id w:val="145914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7DC" w:rsidRPr="00CC695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727DC" w:rsidRPr="00CC6957">
        <w:rPr>
          <w:rFonts w:cstheme="minorHAnsi"/>
          <w:sz w:val="23"/>
          <w:szCs w:val="23"/>
        </w:rPr>
        <w:t xml:space="preserve">   </w:t>
      </w:r>
      <w:r w:rsidR="002727DC" w:rsidRPr="00A95C30">
        <w:rPr>
          <w:rFonts w:cstheme="minorHAnsi"/>
        </w:rPr>
        <w:t>Ensure and document reasonable accommodations for applicants and employees with disabilities (</w:t>
      </w:r>
      <w:hyperlink r:id="rId23" w:tgtFrame="_blank" w:history="1">
        <w:r w:rsidR="002727DC" w:rsidRPr="00A95C30">
          <w:rPr>
            <w:rFonts w:cstheme="minorHAnsi"/>
            <w:color w:val="4A7FC4"/>
            <w:u w:val="single"/>
          </w:rPr>
          <w:t>including online applicants</w:t>
        </w:r>
      </w:hyperlink>
      <w:r w:rsidR="002727DC" w:rsidRPr="00A95C30">
        <w:rPr>
          <w:rFonts w:cstheme="minorHAnsi"/>
        </w:rPr>
        <w:t>).</w:t>
      </w:r>
      <w:r w:rsidR="004D72C9" w:rsidRPr="00A95C30">
        <w:rPr>
          <w:rFonts w:cstheme="minorHAnsi"/>
        </w:rPr>
        <w:t xml:space="preserve"> We recommend maintaining a specific log for </w:t>
      </w:r>
      <w:r w:rsidR="00950E67" w:rsidRPr="00A95C30">
        <w:rPr>
          <w:rFonts w:cstheme="minorHAnsi"/>
        </w:rPr>
        <w:t xml:space="preserve">any accommodations </w:t>
      </w:r>
      <w:proofErr w:type="gramStart"/>
      <w:r w:rsidR="00950E67" w:rsidRPr="00A95C30">
        <w:rPr>
          <w:rFonts w:cstheme="minorHAnsi"/>
        </w:rPr>
        <w:t>requests</w:t>
      </w:r>
      <w:proofErr w:type="gramEnd"/>
      <w:r w:rsidR="004D72C9" w:rsidRPr="00A95C30">
        <w:rPr>
          <w:rFonts w:cstheme="minorHAnsi"/>
        </w:rPr>
        <w:t xml:space="preserve"> </w:t>
      </w:r>
    </w:p>
    <w:p w14:paraId="4AE8C4FD" w14:textId="77777777" w:rsidR="00B659C4" w:rsidRPr="00A95C30" w:rsidRDefault="00B659C4" w:rsidP="00CC6957">
      <w:pPr>
        <w:pStyle w:val="Heading1"/>
        <w:rPr>
          <w:rFonts w:ascii="Gotham Narrow Book" w:hAnsi="Gotham Narrow Book"/>
          <w:color w:val="00A2DD"/>
          <w:sz w:val="28"/>
          <w:szCs w:val="28"/>
        </w:rPr>
      </w:pPr>
      <w:r w:rsidRPr="00A95C30">
        <w:rPr>
          <w:rFonts w:ascii="Gotham Narrow Book" w:hAnsi="Gotham Narrow Book"/>
          <w:color w:val="00A2DD"/>
          <w:sz w:val="28"/>
          <w:szCs w:val="28"/>
        </w:rPr>
        <w:t>Annually</w:t>
      </w:r>
    </w:p>
    <w:p w14:paraId="5ED9FB58" w14:textId="77777777" w:rsidR="008C7335" w:rsidRPr="00CC6957" w:rsidRDefault="002727DC" w:rsidP="00172A0E">
      <w:pPr>
        <w:spacing w:after="0" w:line="240" w:lineRule="auto"/>
        <w:contextualSpacing/>
        <w:rPr>
          <w:rFonts w:ascii="Gotham Narrow Book" w:hAnsi="Gotham Narrow Book" w:cstheme="minorHAnsi"/>
          <w:sz w:val="24"/>
          <w:szCs w:val="24"/>
        </w:rPr>
      </w:pPr>
      <w:r w:rsidRPr="00CC6957">
        <w:rPr>
          <w:rFonts w:ascii="Gotham Narrow Book" w:hAnsi="Gotham Narrow Book" w:cstheme="minorHAnsi"/>
          <w:sz w:val="24"/>
          <w:szCs w:val="24"/>
        </w:rPr>
        <w:t>Audit &amp; Reporting:</w:t>
      </w:r>
    </w:p>
    <w:p w14:paraId="6B8C4C36" w14:textId="0389304A" w:rsidR="002727DC" w:rsidRPr="00A95C30" w:rsidRDefault="00000000" w:rsidP="00172A0E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  <w:sz w:val="23"/>
            <w:szCs w:val="23"/>
          </w:rPr>
          <w:id w:val="-208005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A8B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2727DC" w:rsidRPr="00CC6957">
        <w:rPr>
          <w:rFonts w:cstheme="minorHAnsi"/>
          <w:sz w:val="23"/>
          <w:szCs w:val="23"/>
        </w:rPr>
        <w:t xml:space="preserve"> </w:t>
      </w:r>
      <w:r w:rsidR="002727DC" w:rsidRPr="00A95C30">
        <w:rPr>
          <w:rFonts w:cstheme="minorHAnsi"/>
        </w:rPr>
        <w:t xml:space="preserve">Review and address any areas of adverse impact in new hire, termination or promotion </w:t>
      </w:r>
      <w:proofErr w:type="gramStart"/>
      <w:r w:rsidR="002727DC" w:rsidRPr="00A95C30">
        <w:rPr>
          <w:rFonts w:cstheme="minorHAnsi"/>
        </w:rPr>
        <w:t>activity</w:t>
      </w:r>
      <w:proofErr w:type="gramEnd"/>
    </w:p>
    <w:p w14:paraId="0054AD61" w14:textId="77777777" w:rsidR="00745A8B" w:rsidRPr="00A95C30" w:rsidRDefault="00000000" w:rsidP="00745A8B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151257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8AE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7128AE" w:rsidRPr="00A95C30">
        <w:rPr>
          <w:rFonts w:cstheme="minorHAnsi"/>
        </w:rPr>
        <w:t xml:space="preserve">  </w:t>
      </w:r>
      <w:r w:rsidR="00745A8B" w:rsidRPr="00A95C30">
        <w:rPr>
          <w:rFonts w:cstheme="minorHAnsi"/>
        </w:rPr>
        <w:t>Update AAPs</w:t>
      </w:r>
    </w:p>
    <w:p w14:paraId="4B8C1C28" w14:textId="77777777" w:rsidR="00950E67" w:rsidRPr="00A95C30" w:rsidRDefault="00A95C30" w:rsidP="00A95C3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</w:t>
      </w:r>
      <w:r w:rsidR="00950E67" w:rsidRPr="00A95C30">
        <w:rPr>
          <w:rFonts w:cstheme="minorHAnsi"/>
        </w:rPr>
        <w:t xml:space="preserve">Conduct annual </w:t>
      </w:r>
      <w:hyperlink r:id="rId24" w:history="1">
        <w:r w:rsidR="00950E67" w:rsidRPr="00A95C30">
          <w:rPr>
            <w:rStyle w:val="Hyperlink"/>
            <w:rFonts w:cstheme="minorHAnsi"/>
            <w:color w:val="4472C4" w:themeColor="accent1"/>
          </w:rPr>
          <w:t>Veterans and IWD</w:t>
        </w:r>
      </w:hyperlink>
      <w:r w:rsidR="00950E67" w:rsidRPr="00A95C30">
        <w:rPr>
          <w:rFonts w:cstheme="minorHAnsi"/>
        </w:rPr>
        <w:t xml:space="preserve"> analyses (keep for 3 years)</w:t>
      </w:r>
    </w:p>
    <w:p w14:paraId="59211408" w14:textId="5AC271E3" w:rsidR="007128AE" w:rsidRPr="00FC441F" w:rsidRDefault="00000000" w:rsidP="00A95C30">
      <w:pPr>
        <w:spacing w:after="0" w:line="240" w:lineRule="auto"/>
        <w:ind w:left="630" w:firstLine="53"/>
        <w:contextualSpacing/>
        <w:rPr>
          <w:rFonts w:cstheme="minorHAnsi"/>
          <w:color w:val="0070C0"/>
        </w:rPr>
      </w:pPr>
      <w:sdt>
        <w:sdtPr>
          <w:rPr>
            <w:rFonts w:cstheme="minorHAnsi"/>
          </w:rPr>
          <w:id w:val="181275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C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5A8B" w:rsidRPr="00A95C30">
        <w:rPr>
          <w:rFonts w:cstheme="minorHAnsi"/>
        </w:rPr>
        <w:t xml:space="preserve">   </w:t>
      </w:r>
      <w:r w:rsidR="007128AE" w:rsidRPr="00A95C30">
        <w:rPr>
          <w:rFonts w:cstheme="minorHAnsi"/>
        </w:rPr>
        <w:t>Conduct a</w:t>
      </w:r>
      <w:r w:rsidR="00A95C30" w:rsidRPr="00A95C30">
        <w:rPr>
          <w:rFonts w:cstheme="minorHAnsi"/>
        </w:rPr>
        <w:t>n</w:t>
      </w:r>
      <w:r w:rsidR="007128AE" w:rsidRPr="00A95C30">
        <w:rPr>
          <w:rFonts w:cstheme="minorHAnsi"/>
        </w:rPr>
        <w:t xml:space="preserve"> </w:t>
      </w:r>
      <w:hyperlink r:id="rId25" w:history="1">
        <w:r w:rsidR="00950E67" w:rsidRPr="00FC441F">
          <w:rPr>
            <w:rStyle w:val="Hyperlink"/>
            <w:rFonts w:cstheme="minorHAnsi"/>
            <w:color w:val="0070C0"/>
          </w:rPr>
          <w:t>evaluation of outreach and</w:t>
        </w:r>
        <w:r w:rsidR="007128AE" w:rsidRPr="00FC441F">
          <w:rPr>
            <w:rStyle w:val="Hyperlink"/>
            <w:rFonts w:cstheme="minorHAnsi"/>
            <w:color w:val="0070C0"/>
          </w:rPr>
          <w:t xml:space="preserve"> good faith efforts for Veterans and Individuals with </w:t>
        </w:r>
        <w:r w:rsidR="00A95C30" w:rsidRPr="00FC441F">
          <w:rPr>
            <w:rStyle w:val="Hyperlink"/>
            <w:rFonts w:cstheme="minorHAnsi"/>
            <w:color w:val="0070C0"/>
          </w:rPr>
          <w:t xml:space="preserve">                   </w:t>
        </w:r>
        <w:r w:rsidR="007128AE" w:rsidRPr="00FC441F">
          <w:rPr>
            <w:rStyle w:val="Hyperlink"/>
            <w:rFonts w:cstheme="minorHAnsi"/>
            <w:color w:val="0070C0"/>
          </w:rPr>
          <w:t xml:space="preserve">Disabilities each year </w:t>
        </w:r>
      </w:hyperlink>
      <w:r w:rsidR="007128AE" w:rsidRPr="00FC441F">
        <w:rPr>
          <w:rFonts w:cstheme="minorHAnsi"/>
          <w:color w:val="0070C0"/>
        </w:rPr>
        <w:t xml:space="preserve"> </w:t>
      </w:r>
      <w:r w:rsidR="00932CB7" w:rsidRPr="00FC441F">
        <w:rPr>
          <w:rFonts w:cstheme="minorHAnsi"/>
          <w:color w:val="0070C0"/>
        </w:rPr>
        <w:t xml:space="preserve">(Section 503 Evaluation of Outreach </w:t>
      </w:r>
      <w:r w:rsidR="007E6397" w:rsidRPr="00FC441F">
        <w:rPr>
          <w:rFonts w:cstheme="minorHAnsi"/>
          <w:color w:val="0070C0"/>
        </w:rPr>
        <w:t xml:space="preserve">form </w:t>
      </w:r>
      <w:r w:rsidR="00932CB7" w:rsidRPr="00FC441F">
        <w:rPr>
          <w:rFonts w:cstheme="minorHAnsi"/>
          <w:color w:val="0070C0"/>
        </w:rPr>
        <w:t>for Individuals with Disabilities and VEVRAA Evalu</w:t>
      </w:r>
      <w:r w:rsidR="00DC7A30">
        <w:rPr>
          <w:rFonts w:cstheme="minorHAnsi"/>
          <w:color w:val="0070C0"/>
        </w:rPr>
        <w:t>a</w:t>
      </w:r>
      <w:r w:rsidR="00932CB7" w:rsidRPr="00FC441F">
        <w:rPr>
          <w:rFonts w:cstheme="minorHAnsi"/>
          <w:color w:val="0070C0"/>
        </w:rPr>
        <w:t>tion of Outreach form for Veterans)</w:t>
      </w:r>
    </w:p>
    <w:p w14:paraId="650A558A" w14:textId="77777777" w:rsidR="00950E67" w:rsidRPr="00A95C30" w:rsidRDefault="00000000" w:rsidP="00950E67">
      <w:pPr>
        <w:spacing w:after="0" w:line="240" w:lineRule="auto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7026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C30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7128AE" w:rsidRPr="00A95C30">
        <w:rPr>
          <w:rFonts w:cstheme="minorHAnsi"/>
        </w:rPr>
        <w:t xml:space="preserve">   Review your Audit and Reporting systems </w:t>
      </w:r>
      <w:r w:rsidR="00346BDD" w:rsidRPr="00A95C30">
        <w:rPr>
          <w:rFonts w:cstheme="minorHAnsi"/>
        </w:rPr>
        <w:t>and Personnel Processes</w:t>
      </w:r>
      <w:r w:rsidR="00950E67" w:rsidRPr="00A95C30">
        <w:rPr>
          <w:rFonts w:cstheme="minorHAnsi"/>
        </w:rPr>
        <w:t xml:space="preserve">. </w:t>
      </w:r>
    </w:p>
    <w:p w14:paraId="588078C8" w14:textId="52E11CA2" w:rsidR="00346BDD" w:rsidRPr="00A95C30" w:rsidRDefault="00000000" w:rsidP="00950E67">
      <w:pPr>
        <w:spacing w:after="0" w:line="240" w:lineRule="auto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7307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BDD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346BDD" w:rsidRPr="00A95C30">
        <w:rPr>
          <w:rFonts w:cstheme="minorHAnsi"/>
        </w:rPr>
        <w:t xml:space="preserve">   Review </w:t>
      </w:r>
      <w:r w:rsidR="00745A8B" w:rsidRPr="00A95C30">
        <w:rPr>
          <w:rFonts w:cstheme="minorHAnsi"/>
        </w:rPr>
        <w:t xml:space="preserve">and document job descriptions </w:t>
      </w:r>
      <w:r w:rsidR="00FE786F">
        <w:rPr>
          <w:rFonts w:cstheme="minorHAnsi"/>
        </w:rPr>
        <w:t>analysis</w:t>
      </w:r>
      <w:r w:rsidR="00745A8B" w:rsidRPr="00A95C30">
        <w:rPr>
          <w:rFonts w:cstheme="minorHAnsi"/>
        </w:rPr>
        <w:t xml:space="preserve">, especially </w:t>
      </w:r>
      <w:r w:rsidR="00346BDD" w:rsidRPr="00A95C30">
        <w:rPr>
          <w:rFonts w:cstheme="minorHAnsi"/>
        </w:rPr>
        <w:t>physical and mental job requirements</w:t>
      </w:r>
    </w:p>
    <w:p w14:paraId="53A66ED7" w14:textId="77777777" w:rsidR="00CC396B" w:rsidRPr="00A95C30" w:rsidRDefault="00000000" w:rsidP="00CC396B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58819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96B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CC396B" w:rsidRPr="00A95C30">
        <w:rPr>
          <w:rFonts w:cstheme="minorHAnsi"/>
        </w:rPr>
        <w:t xml:space="preserve">   </w:t>
      </w:r>
      <w:r w:rsidR="00346BDD" w:rsidRPr="00A95C30">
        <w:rPr>
          <w:rFonts w:cstheme="minorHAnsi"/>
        </w:rPr>
        <w:t xml:space="preserve">File and retain copies of </w:t>
      </w:r>
      <w:r w:rsidR="00CC396B" w:rsidRPr="00A95C30">
        <w:rPr>
          <w:rFonts w:cstheme="minorHAnsi"/>
        </w:rPr>
        <w:t>EEO-1 Reports (3 years) and VETS 4212</w:t>
      </w:r>
      <w:r w:rsidR="008B586C" w:rsidRPr="00A95C30">
        <w:rPr>
          <w:rFonts w:cstheme="minorHAnsi"/>
        </w:rPr>
        <w:t xml:space="preserve"> (1 year)</w:t>
      </w:r>
      <w:r w:rsidR="00CC396B" w:rsidRPr="00A95C30">
        <w:rPr>
          <w:rFonts w:cstheme="minorHAnsi"/>
        </w:rPr>
        <w:t>, if required</w:t>
      </w:r>
    </w:p>
    <w:p w14:paraId="32F7144F" w14:textId="77777777" w:rsidR="00CC396B" w:rsidRPr="00A95C30" w:rsidRDefault="00000000" w:rsidP="00CC396B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70483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96B" w:rsidRPr="00A95C30">
            <w:rPr>
              <w:rFonts w:ascii="Segoe UI Symbol" w:eastAsia="MS Gothic" w:hAnsi="Segoe UI Symbol" w:cs="Segoe UI Symbol"/>
            </w:rPr>
            <w:t>☐</w:t>
          </w:r>
        </w:sdtContent>
      </w:sdt>
      <w:r w:rsidR="00CC396B" w:rsidRPr="00A95C30">
        <w:rPr>
          <w:rFonts w:cstheme="minorHAnsi"/>
        </w:rPr>
        <w:t xml:space="preserve">   Perform compensation analysis to ensure compliance with Equal Pay </w:t>
      </w:r>
      <w:proofErr w:type="gramStart"/>
      <w:r w:rsidR="00CC396B" w:rsidRPr="00A95C30">
        <w:rPr>
          <w:rFonts w:cstheme="minorHAnsi"/>
        </w:rPr>
        <w:t>regulations</w:t>
      </w:r>
      <w:proofErr w:type="gramEnd"/>
    </w:p>
    <w:p w14:paraId="4BD2EB3F" w14:textId="77777777" w:rsidR="00B659C4" w:rsidRPr="00A95C30" w:rsidRDefault="00B659C4" w:rsidP="00CC6957">
      <w:pPr>
        <w:pStyle w:val="Heading1"/>
        <w:rPr>
          <w:rFonts w:ascii="Gotham Narrow Book" w:hAnsi="Gotham Narrow Book"/>
          <w:color w:val="00A2DD"/>
          <w:sz w:val="28"/>
          <w:szCs w:val="28"/>
        </w:rPr>
      </w:pPr>
      <w:r w:rsidRPr="00A95C30">
        <w:rPr>
          <w:rFonts w:ascii="Gotham Narrow Book" w:hAnsi="Gotham Narrow Book"/>
          <w:color w:val="00A2DD"/>
          <w:sz w:val="28"/>
          <w:szCs w:val="28"/>
        </w:rPr>
        <w:t>Periodically</w:t>
      </w:r>
    </w:p>
    <w:p w14:paraId="7597B3D7" w14:textId="2B1EEA9B" w:rsidR="00CC396B" w:rsidRPr="00FE786F" w:rsidRDefault="00000000" w:rsidP="00172A0E">
      <w:pPr>
        <w:spacing w:after="0" w:line="240" w:lineRule="auto"/>
        <w:contextualSpacing/>
        <w:rPr>
          <w:rFonts w:cstheme="minorHAnsi"/>
        </w:rPr>
      </w:pPr>
      <w:sdt>
        <w:sdtPr>
          <w:rPr>
            <w:rFonts w:ascii="Perpetua" w:hAnsi="Perpetua"/>
            <w:sz w:val="24"/>
            <w:szCs w:val="24"/>
          </w:rPr>
          <w:id w:val="62543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96B" w:rsidRPr="00172A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96B" w:rsidRPr="00FE786F">
        <w:rPr>
          <w:rFonts w:ascii="Perpetua" w:hAnsi="Perpetua"/>
          <w:color w:val="2F5496" w:themeColor="accent1" w:themeShade="BF"/>
          <w:sz w:val="24"/>
          <w:szCs w:val="24"/>
        </w:rPr>
        <w:t xml:space="preserve">   </w:t>
      </w:r>
      <w:hyperlink r:id="rId26" w:history="1">
        <w:r w:rsidR="00FE786F" w:rsidRPr="00FE786F">
          <w:rPr>
            <w:rStyle w:val="Hyperlink"/>
            <w:rFonts w:cstheme="minorHAnsi"/>
            <w:color w:val="2F5496" w:themeColor="accent1" w:themeShade="BF"/>
          </w:rPr>
          <w:t>S</w:t>
        </w:r>
        <w:r w:rsidR="00CC396B" w:rsidRPr="00FE786F">
          <w:rPr>
            <w:rStyle w:val="Hyperlink"/>
            <w:rFonts w:cstheme="minorHAnsi"/>
            <w:color w:val="2F5496" w:themeColor="accent1" w:themeShade="BF"/>
          </w:rPr>
          <w:t>urvey employees</w:t>
        </w:r>
      </w:hyperlink>
      <w:r w:rsidR="00CC396B" w:rsidRPr="00A95C30">
        <w:rPr>
          <w:rFonts w:cstheme="minorHAnsi"/>
        </w:rPr>
        <w:t xml:space="preserve"> using disability self-ID forms at least every 5 years; </w:t>
      </w:r>
      <w:r w:rsidR="00FE786F" w:rsidRPr="00FE786F">
        <w:rPr>
          <w:rFonts w:cstheme="minorHAnsi"/>
        </w:rPr>
        <w:t xml:space="preserve">At least once during the intervening years between these invitations, </w:t>
      </w:r>
      <w:r w:rsidR="00FE786F">
        <w:rPr>
          <w:rFonts w:cstheme="minorHAnsi"/>
        </w:rPr>
        <w:t>you</w:t>
      </w:r>
      <w:r w:rsidR="00FE786F" w:rsidRPr="00FE786F">
        <w:rPr>
          <w:rFonts w:cstheme="minorHAnsi"/>
        </w:rPr>
        <w:t xml:space="preserve"> must remind </w:t>
      </w:r>
      <w:r w:rsidR="00FE786F">
        <w:rPr>
          <w:rFonts w:cstheme="minorHAnsi"/>
        </w:rPr>
        <w:t>your</w:t>
      </w:r>
      <w:r w:rsidR="00FE786F" w:rsidRPr="00FE786F">
        <w:rPr>
          <w:rFonts w:cstheme="minorHAnsi"/>
        </w:rPr>
        <w:t> employees that they may voluntarily update their disability status</w:t>
      </w:r>
      <w:r w:rsidR="00FE786F">
        <w:rPr>
          <w:rFonts w:cstheme="minorHAnsi"/>
        </w:rPr>
        <w:t>.</w:t>
      </w:r>
    </w:p>
    <w:sectPr w:rsidR="00CC396B" w:rsidRPr="00FE786F" w:rsidSect="00172A0E">
      <w:headerReference w:type="default" r:id="rId2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4E1F" w14:textId="77777777" w:rsidR="009A6ECB" w:rsidRDefault="009A6ECB" w:rsidP="00A95C30">
      <w:pPr>
        <w:spacing w:after="0" w:line="240" w:lineRule="auto"/>
      </w:pPr>
      <w:r>
        <w:separator/>
      </w:r>
    </w:p>
  </w:endnote>
  <w:endnote w:type="continuationSeparator" w:id="0">
    <w:p w14:paraId="0DBFA2FC" w14:textId="77777777" w:rsidR="009A6ECB" w:rsidRDefault="009A6ECB" w:rsidP="00A9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adeGothic LT CondEighteen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3730" w14:textId="77777777" w:rsidR="009A6ECB" w:rsidRDefault="009A6ECB" w:rsidP="00A95C30">
      <w:pPr>
        <w:spacing w:after="0" w:line="240" w:lineRule="auto"/>
      </w:pPr>
      <w:r>
        <w:separator/>
      </w:r>
    </w:p>
  </w:footnote>
  <w:footnote w:type="continuationSeparator" w:id="0">
    <w:p w14:paraId="1FEEA692" w14:textId="77777777" w:rsidR="009A6ECB" w:rsidRDefault="009A6ECB" w:rsidP="00A9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24C8" w14:textId="74A7A24E" w:rsidR="00A95C30" w:rsidRDefault="00A95C30" w:rsidP="00A95C30">
    <w:pPr>
      <w:spacing w:line="240" w:lineRule="auto"/>
      <w:contextualSpacing/>
      <w:rPr>
        <w:rFonts w:ascii="TradeGothic LT CondEighteen" w:hAnsi="TradeGothic LT CondEighteen"/>
        <w:b/>
        <w:color w:val="00A2DD"/>
        <w:sz w:val="36"/>
        <w:szCs w:val="36"/>
      </w:rPr>
    </w:pPr>
    <w:r>
      <w:rPr>
        <w:rFonts w:ascii="TradeGothic LT CondEighteen" w:hAnsi="TradeGothic LT CondEighteen"/>
        <w:b/>
        <w:color w:val="00A2DD"/>
        <w:sz w:val="36"/>
        <w:szCs w:val="36"/>
      </w:rPr>
      <w:t>Annual AAP Compliance Checklist</w:t>
    </w:r>
  </w:p>
  <w:p w14:paraId="5E0A8298" w14:textId="1074F669" w:rsidR="00A8696E" w:rsidRDefault="00FE786F" w:rsidP="00A95C30">
    <w:pPr>
      <w:spacing w:line="240" w:lineRule="auto"/>
      <w:contextualSpacing/>
    </w:pPr>
    <w:r>
      <w:t>A Comprehensive AAP Checklist to Review Your Processes and Level of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19C"/>
    <w:multiLevelType w:val="multilevel"/>
    <w:tmpl w:val="655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31524"/>
    <w:multiLevelType w:val="multilevel"/>
    <w:tmpl w:val="93C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A2429"/>
    <w:multiLevelType w:val="hybridMultilevel"/>
    <w:tmpl w:val="E8B05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E0CA8"/>
    <w:multiLevelType w:val="multilevel"/>
    <w:tmpl w:val="7AA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B7A7F"/>
    <w:multiLevelType w:val="hybridMultilevel"/>
    <w:tmpl w:val="72E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8EB"/>
    <w:multiLevelType w:val="multilevel"/>
    <w:tmpl w:val="D54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C7D86"/>
    <w:multiLevelType w:val="multilevel"/>
    <w:tmpl w:val="AB8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35291"/>
    <w:multiLevelType w:val="multilevel"/>
    <w:tmpl w:val="A1A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31EDA"/>
    <w:multiLevelType w:val="hybridMultilevel"/>
    <w:tmpl w:val="9B9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1040">
    <w:abstractNumId w:val="0"/>
  </w:num>
  <w:num w:numId="2" w16cid:durableId="372463315">
    <w:abstractNumId w:val="1"/>
  </w:num>
  <w:num w:numId="3" w16cid:durableId="1691105103">
    <w:abstractNumId w:val="7"/>
  </w:num>
  <w:num w:numId="4" w16cid:durableId="238833748">
    <w:abstractNumId w:val="5"/>
  </w:num>
  <w:num w:numId="5" w16cid:durableId="1970285222">
    <w:abstractNumId w:val="8"/>
  </w:num>
  <w:num w:numId="6" w16cid:durableId="1222443684">
    <w:abstractNumId w:val="3"/>
  </w:num>
  <w:num w:numId="7" w16cid:durableId="641420933">
    <w:abstractNumId w:val="6"/>
  </w:num>
  <w:num w:numId="8" w16cid:durableId="680738906">
    <w:abstractNumId w:val="4"/>
  </w:num>
  <w:num w:numId="9" w16cid:durableId="193134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24"/>
    <w:rsid w:val="00095A99"/>
    <w:rsid w:val="00172A0E"/>
    <w:rsid w:val="00182522"/>
    <w:rsid w:val="002727DC"/>
    <w:rsid w:val="002C2955"/>
    <w:rsid w:val="00346BDD"/>
    <w:rsid w:val="003B5624"/>
    <w:rsid w:val="004666DA"/>
    <w:rsid w:val="004809B5"/>
    <w:rsid w:val="004A42F6"/>
    <w:rsid w:val="004D72C9"/>
    <w:rsid w:val="00506E2D"/>
    <w:rsid w:val="00520082"/>
    <w:rsid w:val="005516B2"/>
    <w:rsid w:val="005A504E"/>
    <w:rsid w:val="005F2703"/>
    <w:rsid w:val="00710321"/>
    <w:rsid w:val="007128AE"/>
    <w:rsid w:val="00732280"/>
    <w:rsid w:val="00745A8B"/>
    <w:rsid w:val="00751DB8"/>
    <w:rsid w:val="007D2397"/>
    <w:rsid w:val="007E6397"/>
    <w:rsid w:val="007F039D"/>
    <w:rsid w:val="008975C8"/>
    <w:rsid w:val="008B586C"/>
    <w:rsid w:val="008C7335"/>
    <w:rsid w:val="008D65F5"/>
    <w:rsid w:val="009126A6"/>
    <w:rsid w:val="00932CB7"/>
    <w:rsid w:val="00950E67"/>
    <w:rsid w:val="00986A44"/>
    <w:rsid w:val="009A6ECB"/>
    <w:rsid w:val="009E0679"/>
    <w:rsid w:val="00A03A92"/>
    <w:rsid w:val="00A82C7D"/>
    <w:rsid w:val="00A8696E"/>
    <w:rsid w:val="00A95C30"/>
    <w:rsid w:val="00B659C4"/>
    <w:rsid w:val="00C76BE7"/>
    <w:rsid w:val="00C85F22"/>
    <w:rsid w:val="00CC396B"/>
    <w:rsid w:val="00CC6957"/>
    <w:rsid w:val="00D577D3"/>
    <w:rsid w:val="00D73E56"/>
    <w:rsid w:val="00D910E7"/>
    <w:rsid w:val="00DC7A30"/>
    <w:rsid w:val="00DD020D"/>
    <w:rsid w:val="00DE0CC5"/>
    <w:rsid w:val="00E74B2F"/>
    <w:rsid w:val="00E86EF5"/>
    <w:rsid w:val="00EC2142"/>
    <w:rsid w:val="00F550D8"/>
    <w:rsid w:val="00FC441F"/>
    <w:rsid w:val="00FE6C2A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E8B1"/>
  <w15:chartTrackingRefBased/>
  <w15:docId w15:val="{37FF4FBB-51BD-4CA5-9B9D-312D093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B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5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56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B5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2A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72A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067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30"/>
  </w:style>
  <w:style w:type="paragraph" w:styleId="Footer">
    <w:name w:val="footer"/>
    <w:basedOn w:val="Normal"/>
    <w:link w:val="FooterChar"/>
    <w:uiPriority w:val="99"/>
    <w:unhideWhenUsed/>
    <w:rsid w:val="00A9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59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5" w:color="53565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2885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63332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477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33266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5" w:color="53565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977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71065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5" w:color="53565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27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6474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5" w:color="53565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89998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hudsonmann.com/what-are-affirmative-action-good-faith-efforts/" TargetMode="External"/><Relationship Id="rId13" Type="http://schemas.openxmlformats.org/officeDocument/2006/relationships/hyperlink" Target="http://kb.hudsonmann.com/what-forms-do-i-need-for-applicants-to-self-id/" TargetMode="External"/><Relationship Id="rId18" Type="http://schemas.openxmlformats.org/officeDocument/2006/relationships/hyperlink" Target="https://www.dol.gov/sites/dolgov/files/ofccp/CAGuides/files/Postings&amp;NoticesGuide-CONTR508c.pdf" TargetMode="External"/><Relationship Id="rId26" Type="http://schemas.openxmlformats.org/officeDocument/2006/relationships/hyperlink" Target="http://kb.hudsonmann.com/how-do-i-resurvey-my-workfor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kb.hudsonmann.com/how-do-i-comply-with-the-new-pay-transparency-rul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dsonmann.com/ofccp-job-posting-requirements/" TargetMode="External"/><Relationship Id="rId17" Type="http://schemas.openxmlformats.org/officeDocument/2006/relationships/hyperlink" Target="https://hudsonmann.com/wp-content/uploads/2014/01/Notification-of-Equal-Employment-Opportunity-and-Affirmative-Action-Policy.docx" TargetMode="External"/><Relationship Id="rId25" Type="http://schemas.openxmlformats.org/officeDocument/2006/relationships/hyperlink" Target="https://kb.hudsonmann.com/what-tracking-and-outreach-do-i-need-for-disabled-and-vetera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dsonmann.com/mandatory-subcontract-and-purchase-order-language/" TargetMode="External"/><Relationship Id="rId20" Type="http://schemas.openxmlformats.org/officeDocument/2006/relationships/hyperlink" Target="http://kb.hudsonmann.com/where-can-i-find-the-eeo-is-the-law-posters-and-supplemen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bbankinfo.org/" TargetMode="External"/><Relationship Id="rId24" Type="http://schemas.openxmlformats.org/officeDocument/2006/relationships/hyperlink" Target="http://kb.hudsonmann.com/what-are-the-new-regulations-for-veterans-and-individuals-with-disabilities-that-came-out-march-24-20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b.hudsonmann.com/wp-content/uploads/2018/05/EQUAL-EMPLOYMENT-OPPORTUNITY-POLICY-STATEMENT.docx" TargetMode="External"/><Relationship Id="rId23" Type="http://schemas.openxmlformats.org/officeDocument/2006/relationships/hyperlink" Target="http://hudsonmann.com/section-503-rehabilitation-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udsonmann.com/ofccp-job-posting-requirements/" TargetMode="External"/><Relationship Id="rId19" Type="http://schemas.openxmlformats.org/officeDocument/2006/relationships/hyperlink" Target="http://kb.hudsonmann.com/how-do-we-ensure-online-accessibility-for-individuals-with-disab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.hudsonmann.com/how-do-i-document-outreach/" TargetMode="External"/><Relationship Id="rId14" Type="http://schemas.openxmlformats.org/officeDocument/2006/relationships/hyperlink" Target="https://www.eeoc.gov/poster" TargetMode="External"/><Relationship Id="rId22" Type="http://schemas.openxmlformats.org/officeDocument/2006/relationships/hyperlink" Target="https://www.dol.gov/olms/regs/compliance/EO13496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8D92-7F88-475B-8138-914C7E4E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Daniel</dc:creator>
  <cp:keywords/>
  <dc:description/>
  <cp:lastModifiedBy>Tamara Seiler</cp:lastModifiedBy>
  <cp:revision>8</cp:revision>
  <cp:lastPrinted>2019-10-21T13:57:00Z</cp:lastPrinted>
  <dcterms:created xsi:type="dcterms:W3CDTF">2019-10-22T10:59:00Z</dcterms:created>
  <dcterms:modified xsi:type="dcterms:W3CDTF">2023-07-07T12:52:00Z</dcterms:modified>
</cp:coreProperties>
</file>